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27C7D" w14:textId="7907CF02" w:rsidR="00F70DA2" w:rsidRDefault="00D84CA4" w:rsidP="00FA0D25">
      <w:pPr>
        <w:pStyle w:val="1"/>
        <w:bidi/>
        <w:jc w:val="center"/>
        <w:rPr>
          <w:rtl/>
        </w:rPr>
      </w:pPr>
      <w:r w:rsidRPr="00D84CA4">
        <w:rPr>
          <w:rFonts w:ascii="Calibri" w:eastAsia="Calibri" w:hAnsi="Calibri" w:cs="Arial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D7357" wp14:editId="698E7313">
                <wp:simplePos x="0" y="0"/>
                <wp:positionH relativeFrom="column">
                  <wp:posOffset>-931111</wp:posOffset>
                </wp:positionH>
                <wp:positionV relativeFrom="paragraph">
                  <wp:posOffset>-559714</wp:posOffset>
                </wp:positionV>
                <wp:extent cx="1519555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800C5" w14:textId="77777777" w:rsidR="00D84CA4" w:rsidRPr="00781FE1" w:rsidRDefault="00D84CA4" w:rsidP="00D84CA4">
                            <w:pPr>
                              <w:bidi/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rtl/>
                              </w:rPr>
                              <w:t>رمز الوثيقة :</w:t>
                            </w:r>
                            <w:r w:rsidRPr="00E75E85">
                              <w:t xml:space="preserve"> </w:t>
                            </w:r>
                            <w:r w:rsidRPr="00781FE1">
                              <w:t>AD-001</w:t>
                            </w:r>
                          </w:p>
                          <w:p w14:paraId="13B2578A" w14:textId="77777777" w:rsidR="00D84CA4" w:rsidRDefault="00D84CA4" w:rsidP="00D84CA4">
                            <w:pPr>
                              <w:bidi/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>
                              <w:t>1l 2025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3.3pt;margin-top:-44.05pt;width:119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">
                <v:textbox>
                  <w:txbxContent>
                    <w:p w14:paraId="422800C5" w14:textId="77777777" w:rsidR="00D84CA4" w:rsidRPr="00781FE1" w:rsidRDefault="00D84CA4" w:rsidP="00D84CA4">
                      <w:pPr>
                        <w:bidi/>
                        <w:spacing w:after="0"/>
                        <w:rPr>
                          <w:rFonts w:hint="cs"/>
                          <w:rtl/>
                        </w:rPr>
                      </w:pPr>
                      <w:bookmarkStart w:id="1" w:name="_GoBack"/>
                      <w:r>
                        <w:rPr>
                          <w:rFonts w:hint="cs"/>
                          <w:rtl/>
                        </w:rPr>
                        <w:t>رمز الوثيقة :</w:t>
                      </w:r>
                      <w:r w:rsidRPr="00E75E85">
                        <w:t xml:space="preserve"> </w:t>
                      </w:r>
                      <w:r w:rsidRPr="00781FE1">
                        <w:t>AD-001</w:t>
                      </w:r>
                    </w:p>
                    <w:p w14:paraId="13B2578A" w14:textId="77777777" w:rsidR="00D84CA4" w:rsidRDefault="00D84CA4" w:rsidP="00D84CA4">
                      <w:pPr>
                        <w:bidi/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>
                        <w:t>1l 2025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1E43">
        <w:rPr>
          <w:noProof/>
          <w:rtl/>
        </w:rPr>
        <w:drawing>
          <wp:anchor distT="0" distB="0" distL="114300" distR="114300" simplePos="0" relativeHeight="251657216" behindDoc="1" locked="0" layoutInCell="1" allowOverlap="1" wp14:anchorId="3F79FDC7" wp14:editId="7C51D584">
            <wp:simplePos x="0" y="0"/>
            <wp:positionH relativeFrom="column">
              <wp:posOffset>-1232210</wp:posOffset>
            </wp:positionH>
            <wp:positionV relativeFrom="paragraph">
              <wp:posOffset>-1025912</wp:posOffset>
            </wp:positionV>
            <wp:extent cx="7961970" cy="10482146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/>
                    <a:srcRect t="-3" b="-1952"/>
                    <a:stretch/>
                  </pic:blipFill>
                  <pic:spPr bwMode="auto">
                    <a:xfrm>
                      <a:off x="0" y="0"/>
                      <a:ext cx="7961971" cy="10482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FCF" w:rsidRPr="00671FCF">
        <w:rPr>
          <w:rFonts w:cs="Calibri" w:hint="cs"/>
          <w:sz w:val="36"/>
          <w:szCs w:val="36"/>
          <w:u w:val="single"/>
          <w:rtl/>
        </w:rPr>
        <w:t>سياسية الاحتفاظ بالوثائق</w:t>
      </w:r>
    </w:p>
    <w:p w14:paraId="67688172" w14:textId="77777777" w:rsidR="00FA0D25" w:rsidRPr="00FA0D25" w:rsidRDefault="00FA0D25" w:rsidP="00FA0D25">
      <w:pPr>
        <w:bidi/>
        <w:spacing w:after="0"/>
        <w:rPr>
          <w:rtl/>
        </w:rPr>
      </w:pPr>
    </w:p>
    <w:p w14:paraId="7F83B6B8" w14:textId="77777777" w:rsidR="00FA0D25" w:rsidRPr="00CC7928" w:rsidRDefault="00F70DA2" w:rsidP="00FA0D25">
      <w:p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  <w:r w:rsidRPr="00CC7928"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  <w:t>أولاً: الهدف من السياسة :</w:t>
      </w:r>
    </w:p>
    <w:p w14:paraId="1F58CED9" w14:textId="7B05AD85" w:rsidR="00F70DA2" w:rsidRPr="00CC7928" w:rsidRDefault="00671FCF" w:rsidP="00FA0D25">
      <w:pPr>
        <w:pStyle w:val="aa"/>
        <w:numPr>
          <w:ilvl w:val="0"/>
          <w:numId w:val="11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تهدف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هذه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السياسة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إلى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تحديد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أنواع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الوثائق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التي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تحتفظ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بها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الجمعية،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والفترة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الزمنية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التي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يجب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الاحتفاظ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بها،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وآلية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التخلص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الآمن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منها،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بما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يضمن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الامتثال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للأنظمة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واللوائح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المعمول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بها،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والحفاظ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على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مصالح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</w:rPr>
        <w:t xml:space="preserve"> </w:t>
      </w:r>
      <w:r w:rsidRPr="00CC7928">
        <w:rPr>
          <w:rFonts w:ascii="Calibri" w:eastAsiaTheme="majorEastAsia" w:hAnsi="Calibri" w:cs="Calibri"/>
          <w:b/>
          <w:bCs/>
          <w:color w:val="0D0D0D" w:themeColor="text1" w:themeTint="F2"/>
          <w:rtl/>
        </w:rPr>
        <w:t>الجمعية.</w:t>
      </w:r>
    </w:p>
    <w:p w14:paraId="0BC4C398" w14:textId="77777777" w:rsidR="00671FCF" w:rsidRPr="00CC7928" w:rsidRDefault="00671FCF" w:rsidP="00FA0D25">
      <w:pPr>
        <w:pStyle w:val="a0"/>
        <w:numPr>
          <w:ilvl w:val="0"/>
          <w:numId w:val="0"/>
        </w:numPr>
        <w:bidi/>
        <w:spacing w:after="0"/>
        <w:ind w:left="-7" w:hanging="360"/>
        <w:rPr>
          <w:rFonts w:ascii="Calibri" w:eastAsiaTheme="majorEastAsia" w:hAnsi="Calibri" w:cs="Calibri"/>
          <w:b/>
          <w:bCs/>
          <w:color w:val="0D0D0D" w:themeColor="text1" w:themeTint="F2"/>
          <w:rtl/>
        </w:rPr>
      </w:pPr>
    </w:p>
    <w:p w14:paraId="2D041C3F" w14:textId="12923682" w:rsidR="00F70DA2" w:rsidRPr="00CC7928" w:rsidRDefault="00F70DA2" w:rsidP="00FA0D25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  <w:r w:rsidRPr="00CC7928"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  <w:t xml:space="preserve">ثانياً </w:t>
      </w:r>
      <w:r w:rsidR="00671FCF" w:rsidRPr="00CC7928"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  <w:t xml:space="preserve">نطاق التطبيق </w:t>
      </w:r>
      <w:r w:rsidR="00A26EB6" w:rsidRPr="00CC7928"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  <w:t>:</w:t>
      </w:r>
    </w:p>
    <w:p w14:paraId="46FE80DC" w14:textId="53C85BF9" w:rsidR="00F70DA2" w:rsidRPr="00CC7928" w:rsidRDefault="00671FCF" w:rsidP="00FA0D25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rtl/>
        </w:rPr>
      </w:pPr>
      <w:r w:rsidRPr="00CC7928">
        <w:rPr>
          <w:rFonts w:ascii="Calibri" w:eastAsiaTheme="majorEastAsia" w:hAnsi="Calibri" w:cs="Calibri"/>
          <w:b/>
          <w:bCs/>
          <w:rtl/>
        </w:rPr>
        <w:t>ُطبق هذه السياسة على جميع الإدارات والأقسام واللجان والعاملين والمتطوعين في الجمعية، وتشمل جميع أنواع الوثائق الرسمية والإدارية والمالية والقانونية والتشغيلية والتقارير الفنية.</w:t>
      </w:r>
    </w:p>
    <w:p w14:paraId="2C6C6C8F" w14:textId="77777777" w:rsidR="00671FCF" w:rsidRPr="00CC7928" w:rsidRDefault="00671FCF" w:rsidP="00FA0D25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rtl/>
        </w:rPr>
      </w:pPr>
    </w:p>
    <w:p w14:paraId="2CA240D4" w14:textId="41870CA2" w:rsidR="00F70DA2" w:rsidRPr="00CC7928" w:rsidRDefault="00F70DA2" w:rsidP="00FA0D25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  <w:r w:rsidRPr="00CC7928"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  <w:t xml:space="preserve">ثالثاً : </w:t>
      </w:r>
      <w:r w:rsidR="00671FCF" w:rsidRPr="00CC7928"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  <w:t xml:space="preserve">أنواع الوثائق وفترات الاحتفاظ </w:t>
      </w:r>
      <w:r w:rsidR="00A26EB6" w:rsidRPr="00CC7928"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  <w:t>:</w:t>
      </w:r>
    </w:p>
    <w:p w14:paraId="4BD624EF" w14:textId="77777777" w:rsidR="00FA0D25" w:rsidRPr="00CC7928" w:rsidRDefault="00FA0D25" w:rsidP="00FA0D25">
      <w:pPr>
        <w:pStyle w:val="a0"/>
        <w:numPr>
          <w:ilvl w:val="0"/>
          <w:numId w:val="0"/>
        </w:numPr>
        <w:bidi/>
        <w:spacing w:after="0"/>
        <w:rPr>
          <w:rFonts w:ascii="Calibri" w:hAnsi="Calibri" w:cs="Calibri"/>
          <w:color w:val="000000" w:themeColor="text1"/>
          <w:rtl/>
        </w:rPr>
      </w:pPr>
    </w:p>
    <w:tbl>
      <w:tblPr>
        <w:tblStyle w:val="afa"/>
        <w:tblpPr w:leftFromText="180" w:rightFromText="180" w:vertAnchor="text" w:horzAnchor="margin" w:tblpXSpec="right" w:tblpYSpec="top"/>
        <w:bidiVisual/>
        <w:tblW w:w="6948" w:type="dxa"/>
        <w:tblLook w:val="04A0" w:firstRow="1" w:lastRow="0" w:firstColumn="1" w:lastColumn="0" w:noHBand="0" w:noVBand="1"/>
      </w:tblPr>
      <w:tblGrid>
        <w:gridCol w:w="3423"/>
        <w:gridCol w:w="3525"/>
      </w:tblGrid>
      <w:tr w:rsidR="00CC7928" w:rsidRPr="00CC7928" w14:paraId="2C93C51D" w14:textId="77777777" w:rsidTr="00CC7928">
        <w:trPr>
          <w:trHeight w:val="361"/>
        </w:trPr>
        <w:tc>
          <w:tcPr>
            <w:tcW w:w="3423" w:type="dxa"/>
            <w:shd w:val="clear" w:color="auto" w:fill="C6D9F1" w:themeFill="text2" w:themeFillTint="33"/>
          </w:tcPr>
          <w:p w14:paraId="24A55A26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rtl/>
              </w:rPr>
            </w:pPr>
            <w:r w:rsidRPr="00CC7928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rtl/>
              </w:rPr>
              <w:t>نوع الوثيقة</w:t>
            </w:r>
          </w:p>
        </w:tc>
        <w:tc>
          <w:tcPr>
            <w:tcW w:w="3525" w:type="dxa"/>
            <w:shd w:val="clear" w:color="auto" w:fill="C6D9F1" w:themeFill="text2" w:themeFillTint="33"/>
          </w:tcPr>
          <w:p w14:paraId="7680218B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</w:rPr>
            </w:pPr>
            <w:r w:rsidRPr="00CC7928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rtl/>
              </w:rPr>
              <w:t>مدة الاحتفاظ</w:t>
            </w:r>
          </w:p>
        </w:tc>
      </w:tr>
      <w:tr w:rsidR="00FA0D25" w:rsidRPr="00CC7928" w14:paraId="2F9EF3EC" w14:textId="77777777" w:rsidTr="00CC7928">
        <w:trPr>
          <w:trHeight w:val="5"/>
        </w:trPr>
        <w:tc>
          <w:tcPr>
            <w:tcW w:w="3423" w:type="dxa"/>
          </w:tcPr>
          <w:p w14:paraId="3BFDA780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  <w:rtl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التقارير المالية والميزانيات</w:t>
            </w:r>
          </w:p>
        </w:tc>
        <w:tc>
          <w:tcPr>
            <w:tcW w:w="3525" w:type="dxa"/>
          </w:tcPr>
          <w:p w14:paraId="0D0FBBA9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10 سنوات</w:t>
            </w:r>
          </w:p>
        </w:tc>
      </w:tr>
      <w:tr w:rsidR="00FA0D25" w:rsidRPr="00CC7928" w14:paraId="396B1BB0" w14:textId="77777777" w:rsidTr="00CC7928">
        <w:trPr>
          <w:trHeight w:val="5"/>
        </w:trPr>
        <w:tc>
          <w:tcPr>
            <w:tcW w:w="3423" w:type="dxa"/>
          </w:tcPr>
          <w:p w14:paraId="0000810D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  <w:rtl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العقود والاتفاقيات</w:t>
            </w:r>
          </w:p>
        </w:tc>
        <w:tc>
          <w:tcPr>
            <w:tcW w:w="3525" w:type="dxa"/>
          </w:tcPr>
          <w:p w14:paraId="2E637ACF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طوال فترة سريان العقد + 5 سنوات</w:t>
            </w:r>
          </w:p>
        </w:tc>
      </w:tr>
      <w:tr w:rsidR="00FA0D25" w:rsidRPr="00CC7928" w14:paraId="2D79D2E4" w14:textId="77777777" w:rsidTr="00CC7928">
        <w:trPr>
          <w:trHeight w:val="5"/>
        </w:trPr>
        <w:tc>
          <w:tcPr>
            <w:tcW w:w="3423" w:type="dxa"/>
          </w:tcPr>
          <w:p w14:paraId="5D11F0F3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  <w:rtl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محاضر الاجتماعات</w:t>
            </w:r>
          </w:p>
        </w:tc>
        <w:tc>
          <w:tcPr>
            <w:tcW w:w="3525" w:type="dxa"/>
          </w:tcPr>
          <w:p w14:paraId="14557518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دائم</w:t>
            </w:r>
          </w:p>
        </w:tc>
      </w:tr>
      <w:tr w:rsidR="00FA0D25" w:rsidRPr="00CC7928" w14:paraId="54BB1CFC" w14:textId="77777777" w:rsidTr="00CC7928">
        <w:trPr>
          <w:trHeight w:val="5"/>
        </w:trPr>
        <w:tc>
          <w:tcPr>
            <w:tcW w:w="3423" w:type="dxa"/>
          </w:tcPr>
          <w:p w14:paraId="359C3F02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  <w:rtl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السجلات الضريبية</w:t>
            </w:r>
          </w:p>
        </w:tc>
        <w:tc>
          <w:tcPr>
            <w:tcW w:w="3525" w:type="dxa"/>
          </w:tcPr>
          <w:p w14:paraId="462A02D2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10 سنوات</w:t>
            </w:r>
          </w:p>
        </w:tc>
      </w:tr>
      <w:tr w:rsidR="00FA0D25" w:rsidRPr="00CC7928" w14:paraId="1093BDDF" w14:textId="77777777" w:rsidTr="00CC7928">
        <w:trPr>
          <w:trHeight w:val="5"/>
        </w:trPr>
        <w:tc>
          <w:tcPr>
            <w:tcW w:w="3423" w:type="dxa"/>
          </w:tcPr>
          <w:p w14:paraId="2953E290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  <w:rtl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سجلات التوظيف والموظفين</w:t>
            </w:r>
          </w:p>
        </w:tc>
        <w:tc>
          <w:tcPr>
            <w:tcW w:w="3525" w:type="dxa"/>
          </w:tcPr>
          <w:p w14:paraId="12278130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مدة العمل + 5 سنوات</w:t>
            </w:r>
          </w:p>
        </w:tc>
      </w:tr>
      <w:tr w:rsidR="00FA0D25" w:rsidRPr="00CC7928" w14:paraId="3253EA39" w14:textId="77777777" w:rsidTr="00CC7928">
        <w:trPr>
          <w:trHeight w:val="53"/>
        </w:trPr>
        <w:tc>
          <w:tcPr>
            <w:tcW w:w="3423" w:type="dxa"/>
          </w:tcPr>
          <w:p w14:paraId="0EE7C6AB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  <w:rtl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المراسلات الرسمية</w:t>
            </w:r>
          </w:p>
        </w:tc>
        <w:tc>
          <w:tcPr>
            <w:tcW w:w="3525" w:type="dxa"/>
          </w:tcPr>
          <w:p w14:paraId="6CBD3981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5 سنوات</w:t>
            </w:r>
          </w:p>
        </w:tc>
      </w:tr>
      <w:tr w:rsidR="00FA0D25" w:rsidRPr="00CC7928" w14:paraId="18008FC2" w14:textId="77777777" w:rsidTr="00CC7928">
        <w:trPr>
          <w:trHeight w:val="5"/>
        </w:trPr>
        <w:tc>
          <w:tcPr>
            <w:tcW w:w="3423" w:type="dxa"/>
          </w:tcPr>
          <w:p w14:paraId="584D56CF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noProof/>
                <w:sz w:val="22"/>
                <w:szCs w:val="22"/>
                <w:rtl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وثائق المشاريع والبرامج</w:t>
            </w:r>
          </w:p>
        </w:tc>
        <w:tc>
          <w:tcPr>
            <w:tcW w:w="3525" w:type="dxa"/>
          </w:tcPr>
          <w:p w14:paraId="2A0835B1" w14:textId="77777777" w:rsidR="00FA0D25" w:rsidRPr="00CC7928" w:rsidRDefault="00FA0D25" w:rsidP="00CC7928">
            <w:pPr>
              <w:pStyle w:val="1"/>
              <w:bidi/>
              <w:spacing w:before="0"/>
              <w:jc w:val="center"/>
              <w:outlineLvl w:val="0"/>
              <w:rPr>
                <w:rFonts w:ascii="Calibri" w:hAnsi="Calibri" w:cs="Calibri"/>
                <w:sz w:val="22"/>
                <w:szCs w:val="22"/>
                <w:rtl/>
              </w:rPr>
            </w:pPr>
            <w:r w:rsidRPr="00CC7928">
              <w:rPr>
                <w:rFonts w:ascii="Calibri" w:hAnsi="Calibri" w:cs="Calibri"/>
                <w:noProof/>
                <w:sz w:val="22"/>
                <w:szCs w:val="22"/>
                <w:rtl/>
              </w:rPr>
              <w:t>5 سنوات بعد انتهاء المشروع</w:t>
            </w:r>
          </w:p>
        </w:tc>
      </w:tr>
    </w:tbl>
    <w:p w14:paraId="338BBE62" w14:textId="131381F5" w:rsidR="004B1E43" w:rsidRPr="00CC7928" w:rsidRDefault="004B1E43" w:rsidP="00FA0D25">
      <w:pPr>
        <w:pStyle w:val="a0"/>
        <w:numPr>
          <w:ilvl w:val="0"/>
          <w:numId w:val="0"/>
        </w:numPr>
        <w:bidi/>
        <w:spacing w:after="0"/>
        <w:rPr>
          <w:rFonts w:ascii="Calibri" w:hAnsi="Calibri" w:cs="Calibri"/>
          <w:color w:val="000000" w:themeColor="text1"/>
          <w:rtl/>
        </w:rPr>
      </w:pPr>
    </w:p>
    <w:p w14:paraId="11B15010" w14:textId="77777777" w:rsid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</w:p>
    <w:p w14:paraId="5A592398" w14:textId="77777777" w:rsid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</w:p>
    <w:p w14:paraId="28B75763" w14:textId="77777777" w:rsid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</w:p>
    <w:p w14:paraId="1CA02A4A" w14:textId="77777777" w:rsid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</w:p>
    <w:p w14:paraId="47830AA3" w14:textId="77777777" w:rsid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</w:p>
    <w:p w14:paraId="093BDA12" w14:textId="77777777" w:rsid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</w:p>
    <w:p w14:paraId="5829A99F" w14:textId="77777777" w:rsid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</w:p>
    <w:p w14:paraId="515D24BC" w14:textId="77777777" w:rsid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</w:p>
    <w:p w14:paraId="5A54ABF0" w14:textId="355E2653" w:rsidR="00CC7928" w:rsidRP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hAnsi="Calibri" w:cs="Calibri"/>
          <w:rtl/>
        </w:rPr>
      </w:pPr>
      <w:r w:rsidRPr="00CC7928"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  <w:t>رابعاً: مسؤوليات التنفيذ</w:t>
      </w:r>
      <w:r w:rsidRPr="00CC7928">
        <w:rPr>
          <w:rFonts w:ascii="Calibri" w:hAnsi="Calibri" w:cs="Calibri"/>
          <w:rtl/>
        </w:rPr>
        <w:t>:</w:t>
      </w:r>
    </w:p>
    <w:p w14:paraId="140EA8AF" w14:textId="5F0D0141" w:rsidR="00CC7928" w:rsidRPr="00CC7928" w:rsidRDefault="00CC7928" w:rsidP="00CC7928">
      <w:pPr>
        <w:pStyle w:val="a0"/>
        <w:numPr>
          <w:ilvl w:val="0"/>
          <w:numId w:val="13"/>
        </w:numPr>
        <w:bidi/>
        <w:spacing w:after="0"/>
        <w:jc w:val="both"/>
        <w:rPr>
          <w:rFonts w:ascii="Calibri" w:hAnsi="Calibri" w:cs="Calibri"/>
          <w:b/>
          <w:bCs/>
          <w:rtl/>
        </w:rPr>
      </w:pPr>
      <w:r w:rsidRPr="00CC7928">
        <w:rPr>
          <w:rFonts w:ascii="Calibri" w:hAnsi="Calibri" w:cs="Calibri"/>
          <w:b/>
          <w:bCs/>
          <w:rtl/>
        </w:rPr>
        <w:t>تتولى إدارة الشؤون الإدارية مسؤولية حفظ الوثائق الورقية في أماكن مؤمنة</w:t>
      </w:r>
      <w:r w:rsidRPr="00CC7928">
        <w:rPr>
          <w:rFonts w:ascii="Calibri" w:hAnsi="Calibri" w:cs="Calibri"/>
          <w:b/>
          <w:bCs/>
        </w:rPr>
        <w:t>.</w:t>
      </w:r>
    </w:p>
    <w:p w14:paraId="116A0B28" w14:textId="0567698D" w:rsidR="00CC7928" w:rsidRPr="00CC7928" w:rsidRDefault="00CC7928" w:rsidP="00CC7928">
      <w:pPr>
        <w:pStyle w:val="a0"/>
        <w:numPr>
          <w:ilvl w:val="0"/>
          <w:numId w:val="13"/>
        </w:numPr>
        <w:bidi/>
        <w:spacing w:after="0"/>
        <w:jc w:val="both"/>
        <w:rPr>
          <w:rFonts w:ascii="Calibri" w:hAnsi="Calibri" w:cs="Calibri"/>
          <w:b/>
          <w:bCs/>
          <w:rtl/>
        </w:rPr>
      </w:pPr>
      <w:r w:rsidRPr="00CC7928">
        <w:rPr>
          <w:rFonts w:ascii="Calibri" w:hAnsi="Calibri" w:cs="Calibri"/>
          <w:b/>
          <w:bCs/>
          <w:rtl/>
        </w:rPr>
        <w:t>تتولى إدارة التحول الرقمي (أو تقنية المعلومات) مسؤولية أرشفة النسخ الإلكترونية وتأمينها</w:t>
      </w:r>
      <w:r w:rsidRPr="00CC7928">
        <w:rPr>
          <w:rFonts w:ascii="Calibri" w:hAnsi="Calibri" w:cs="Calibri"/>
          <w:b/>
          <w:bCs/>
        </w:rPr>
        <w:t>.</w:t>
      </w:r>
    </w:p>
    <w:p w14:paraId="2C3ABF3F" w14:textId="68A32514" w:rsidR="00CC7928" w:rsidRPr="00CC7928" w:rsidRDefault="00CC7928" w:rsidP="00CC7928">
      <w:pPr>
        <w:pStyle w:val="a0"/>
        <w:numPr>
          <w:ilvl w:val="0"/>
          <w:numId w:val="13"/>
        </w:numPr>
        <w:bidi/>
        <w:spacing w:after="0"/>
        <w:jc w:val="both"/>
        <w:rPr>
          <w:rFonts w:ascii="Calibri" w:hAnsi="Calibri" w:cs="Calibri"/>
          <w:b/>
          <w:bCs/>
          <w:rtl/>
        </w:rPr>
      </w:pPr>
      <w:r w:rsidRPr="00CC7928">
        <w:rPr>
          <w:rFonts w:ascii="Calibri" w:hAnsi="Calibri" w:cs="Calibri"/>
          <w:b/>
          <w:bCs/>
          <w:rtl/>
        </w:rPr>
        <w:t>يُمنع الوصول إلى الوثائق الحساسة إلا للمخولين رسميًا بذلك</w:t>
      </w:r>
      <w:r w:rsidRPr="00CC7928">
        <w:rPr>
          <w:rFonts w:ascii="Calibri" w:hAnsi="Calibri" w:cs="Calibri"/>
          <w:b/>
          <w:bCs/>
        </w:rPr>
        <w:t>.</w:t>
      </w:r>
    </w:p>
    <w:p w14:paraId="3219EC63" w14:textId="76F0F427" w:rsidR="004B1E43" w:rsidRPr="00CC7928" w:rsidRDefault="00CC7928" w:rsidP="00CC7928">
      <w:pPr>
        <w:pStyle w:val="a0"/>
        <w:numPr>
          <w:ilvl w:val="0"/>
          <w:numId w:val="13"/>
        </w:numPr>
        <w:bidi/>
        <w:spacing w:after="0"/>
        <w:jc w:val="both"/>
        <w:rPr>
          <w:rFonts w:ascii="Calibri" w:hAnsi="Calibri" w:cs="Calibri"/>
          <w:b/>
          <w:bCs/>
        </w:rPr>
      </w:pPr>
      <w:r w:rsidRPr="00CC7928">
        <w:rPr>
          <w:rFonts w:ascii="Calibri" w:hAnsi="Calibri" w:cs="Calibri"/>
          <w:b/>
          <w:bCs/>
          <w:rtl/>
        </w:rPr>
        <w:t>تُراجع وثائق الجمعية دوريًا للتأكد من سلامتها وصحة تصنيفها وفترة الاحتفاظ بها.</w:t>
      </w:r>
    </w:p>
    <w:p w14:paraId="0257AE33" w14:textId="77777777" w:rsidR="00CC7928" w:rsidRPr="00CC7928" w:rsidRDefault="00CC7928" w:rsidP="00CC7928">
      <w:pPr>
        <w:pStyle w:val="a0"/>
        <w:numPr>
          <w:ilvl w:val="0"/>
          <w:numId w:val="0"/>
        </w:numPr>
        <w:bidi/>
        <w:spacing w:after="0"/>
        <w:ind w:left="720"/>
        <w:jc w:val="both"/>
        <w:rPr>
          <w:rFonts w:ascii="Calibri" w:hAnsi="Calibri" w:cs="Calibri"/>
          <w:b/>
          <w:bCs/>
        </w:rPr>
      </w:pPr>
    </w:p>
    <w:p w14:paraId="77F114B1" w14:textId="52A7A926" w:rsidR="00CC7928" w:rsidRP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hAnsi="Calibri" w:cs="Calibri"/>
          <w:rtl/>
        </w:rPr>
      </w:pPr>
      <w:r w:rsidRPr="00CC7928"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  <w:t>خامساً: اتلاف الوثائق :</w:t>
      </w:r>
    </w:p>
    <w:p w14:paraId="49A2249A" w14:textId="1F075175" w:rsidR="00CC7928" w:rsidRPr="00CC7928" w:rsidRDefault="00CC7928" w:rsidP="00CC7928">
      <w:pPr>
        <w:pStyle w:val="a0"/>
        <w:numPr>
          <w:ilvl w:val="0"/>
          <w:numId w:val="14"/>
        </w:numPr>
        <w:bidi/>
        <w:spacing w:after="0" w:line="240" w:lineRule="auto"/>
        <w:rPr>
          <w:rFonts w:ascii="Calibri" w:hAnsi="Calibri" w:cs="Calibri"/>
          <w:b/>
          <w:bCs/>
          <w:rtl/>
        </w:rPr>
      </w:pPr>
      <w:r w:rsidRPr="00CC7928">
        <w:rPr>
          <w:rFonts w:ascii="Calibri" w:hAnsi="Calibri" w:cs="Calibri"/>
          <w:b/>
          <w:bCs/>
          <w:rtl/>
        </w:rPr>
        <w:t>يتم إتلاف الوثائق المنتهية صلاحية الاحتفاظ بها بموجب محضر إتلاف رسمي معتمد من المدير التنفيذي</w:t>
      </w:r>
      <w:r w:rsidRPr="00CC7928">
        <w:rPr>
          <w:rFonts w:ascii="Calibri" w:hAnsi="Calibri" w:cs="Calibri"/>
          <w:b/>
          <w:bCs/>
        </w:rPr>
        <w:t>.</w:t>
      </w:r>
    </w:p>
    <w:p w14:paraId="6C62FCB0" w14:textId="23F17D11" w:rsidR="00CC7928" w:rsidRPr="00CC7928" w:rsidRDefault="00CC7928" w:rsidP="00CC7928">
      <w:pPr>
        <w:pStyle w:val="a0"/>
        <w:numPr>
          <w:ilvl w:val="0"/>
          <w:numId w:val="14"/>
        </w:numPr>
        <w:bidi/>
        <w:spacing w:after="0" w:line="240" w:lineRule="auto"/>
        <w:rPr>
          <w:rFonts w:ascii="Calibri" w:hAnsi="Calibri" w:cs="Calibri"/>
          <w:b/>
          <w:bCs/>
          <w:rtl/>
        </w:rPr>
      </w:pPr>
      <w:r w:rsidRPr="00CC7928">
        <w:rPr>
          <w:rFonts w:ascii="Calibri" w:hAnsi="Calibri" w:cs="Calibri"/>
          <w:b/>
          <w:bCs/>
          <w:rtl/>
        </w:rPr>
        <w:t>يتم الإتلاف بوسائل آمنة تضمن حماية البيانات، مثل الفرم للوثائق الورقية، والحذف الآمن للوثائق الرقمية</w:t>
      </w:r>
      <w:r w:rsidRPr="00CC7928">
        <w:rPr>
          <w:rFonts w:ascii="Calibri" w:hAnsi="Calibri" w:cs="Calibri"/>
          <w:b/>
          <w:bCs/>
        </w:rPr>
        <w:t>.</w:t>
      </w:r>
    </w:p>
    <w:p w14:paraId="76B3C2A2" w14:textId="6EC87272" w:rsidR="00CC7928" w:rsidRDefault="00CC7928" w:rsidP="00CC7928">
      <w:pPr>
        <w:pStyle w:val="a0"/>
        <w:numPr>
          <w:ilvl w:val="0"/>
          <w:numId w:val="14"/>
        </w:numPr>
        <w:bidi/>
        <w:spacing w:after="0" w:line="240" w:lineRule="auto"/>
        <w:rPr>
          <w:rFonts w:ascii="Calibri" w:hAnsi="Calibri" w:cs="Calibri"/>
          <w:b/>
          <w:bCs/>
        </w:rPr>
      </w:pPr>
      <w:r w:rsidRPr="00CC7928">
        <w:rPr>
          <w:rFonts w:ascii="Calibri" w:hAnsi="Calibri" w:cs="Calibri"/>
          <w:b/>
          <w:bCs/>
          <w:rtl/>
        </w:rPr>
        <w:t>لا يجوز التخلص من أي وثيقة قبل انتهاء المدة المحددة للاحتفاظ بها، إلا بعد الحصول على موافقة الإدارة القانونية أو مجلس الإدارة.</w:t>
      </w:r>
    </w:p>
    <w:p w14:paraId="1019F355" w14:textId="77777777" w:rsidR="00CC7928" w:rsidRDefault="00CC7928" w:rsidP="00CC7928">
      <w:pPr>
        <w:pStyle w:val="a0"/>
        <w:numPr>
          <w:ilvl w:val="0"/>
          <w:numId w:val="0"/>
        </w:numPr>
        <w:bidi/>
        <w:spacing w:after="0" w:line="240" w:lineRule="auto"/>
        <w:ind w:left="720"/>
        <w:rPr>
          <w:rFonts w:ascii="Calibri" w:hAnsi="Calibri" w:cs="Calibri"/>
          <w:b/>
          <w:bCs/>
          <w:rtl/>
        </w:rPr>
      </w:pPr>
    </w:p>
    <w:p w14:paraId="1698C4F3" w14:textId="292B4344" w:rsidR="00CC7928" w:rsidRDefault="00CC7928" w:rsidP="00CC7928">
      <w:pPr>
        <w:pStyle w:val="a0"/>
        <w:numPr>
          <w:ilvl w:val="0"/>
          <w:numId w:val="0"/>
        </w:numPr>
        <w:bidi/>
        <w:spacing w:after="0"/>
        <w:rPr>
          <w:rFonts w:ascii="Calibri" w:eastAsiaTheme="majorEastAsia" w:hAnsi="Calibri" w:cs="Calibri"/>
          <w:b/>
          <w:bCs/>
          <w:color w:val="365F91" w:themeColor="accent1" w:themeShade="BF"/>
          <w:u w:val="single"/>
          <w:rtl/>
        </w:rPr>
      </w:pPr>
      <w:r>
        <w:rPr>
          <w:rFonts w:ascii="Calibri" w:eastAsiaTheme="majorEastAsia" w:hAnsi="Calibri" w:cs="Calibri" w:hint="cs"/>
          <w:b/>
          <w:bCs/>
          <w:color w:val="365F91" w:themeColor="accent1" w:themeShade="BF"/>
          <w:u w:val="single"/>
          <w:rtl/>
        </w:rPr>
        <w:t>سادساً : المراجعة والتحديث :</w:t>
      </w:r>
    </w:p>
    <w:p w14:paraId="65D14AB1" w14:textId="287655ED" w:rsidR="00CC7928" w:rsidRPr="00CC7928" w:rsidRDefault="00CC7928" w:rsidP="00CC7928">
      <w:pPr>
        <w:pStyle w:val="a0"/>
        <w:numPr>
          <w:ilvl w:val="0"/>
          <w:numId w:val="15"/>
        </w:numPr>
        <w:bidi/>
        <w:spacing w:after="0"/>
        <w:rPr>
          <w:rFonts w:ascii="Calibri" w:hAnsi="Calibri" w:cs="Calibri"/>
          <w:rtl/>
        </w:rPr>
      </w:pPr>
      <w:r w:rsidRPr="00CC7928">
        <w:rPr>
          <w:rFonts w:ascii="Calibri" w:hAnsi="Calibri" w:cs="Calibri" w:hint="cs"/>
          <w:b/>
          <w:bCs/>
          <w:rtl/>
        </w:rPr>
        <w:t>تُراجع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هذه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السياسة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بشكل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سنوي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من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قبل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لجنة</w:t>
      </w:r>
      <w:r w:rsidRPr="00CC7928">
        <w:rPr>
          <w:rFonts w:ascii="Calibri" w:hAnsi="Calibri" w:cs="Calibri"/>
          <w:b/>
          <w:bCs/>
          <w:rtl/>
        </w:rPr>
        <w:t xml:space="preserve"> </w:t>
      </w:r>
      <w:proofErr w:type="spellStart"/>
      <w:r w:rsidRPr="00CC7928">
        <w:rPr>
          <w:rFonts w:ascii="Calibri" w:hAnsi="Calibri" w:cs="Calibri" w:hint="cs"/>
          <w:b/>
          <w:bCs/>
          <w:rtl/>
        </w:rPr>
        <w:t>الحوكمة</w:t>
      </w:r>
      <w:proofErr w:type="spellEnd"/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أو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الإدارة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القانونية،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ويتم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تحديثها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عند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الحاجة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أو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عند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صدور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توجيهات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جديدة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من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الجهات</w:t>
      </w:r>
      <w:r w:rsidRPr="00CC7928">
        <w:rPr>
          <w:rFonts w:ascii="Calibri" w:hAnsi="Calibri" w:cs="Calibri"/>
          <w:b/>
          <w:bCs/>
          <w:rtl/>
        </w:rPr>
        <w:t xml:space="preserve"> </w:t>
      </w:r>
      <w:r w:rsidRPr="00CC7928">
        <w:rPr>
          <w:rFonts w:ascii="Calibri" w:hAnsi="Calibri" w:cs="Calibri" w:hint="cs"/>
          <w:b/>
          <w:bCs/>
          <w:rtl/>
        </w:rPr>
        <w:t>التنظيمية</w:t>
      </w:r>
      <w:r w:rsidRPr="00CC7928">
        <w:rPr>
          <w:rFonts w:ascii="Calibri" w:hAnsi="Calibri" w:cs="Calibri"/>
          <w:rtl/>
        </w:rPr>
        <w:t>.</w:t>
      </w:r>
    </w:p>
    <w:p w14:paraId="4E98B9C0" w14:textId="77777777" w:rsidR="00CC7928" w:rsidRPr="00CC7928" w:rsidRDefault="00CC7928" w:rsidP="00CC7928">
      <w:pPr>
        <w:pStyle w:val="a0"/>
        <w:numPr>
          <w:ilvl w:val="0"/>
          <w:numId w:val="0"/>
        </w:numPr>
        <w:bidi/>
        <w:spacing w:after="0" w:line="240" w:lineRule="auto"/>
        <w:ind w:left="720"/>
        <w:rPr>
          <w:rFonts w:ascii="Calibri" w:hAnsi="Calibri" w:cs="Calibri"/>
          <w:b/>
          <w:bCs/>
          <w:rtl/>
        </w:rPr>
      </w:pPr>
    </w:p>
    <w:p w14:paraId="19FEFB39" w14:textId="65F87892" w:rsidR="004B1E43" w:rsidRDefault="004B1E43" w:rsidP="00FA0D25">
      <w:pPr>
        <w:pStyle w:val="a0"/>
        <w:numPr>
          <w:ilvl w:val="0"/>
          <w:numId w:val="0"/>
        </w:numPr>
        <w:bidi/>
        <w:spacing w:after="0"/>
        <w:ind w:left="360" w:hanging="360"/>
        <w:rPr>
          <w:sz w:val="24"/>
          <w:rtl/>
        </w:rPr>
      </w:pPr>
    </w:p>
    <w:p w14:paraId="358496AB" w14:textId="4C682A65" w:rsidR="005132AC" w:rsidRPr="00F70DA2" w:rsidRDefault="005132AC" w:rsidP="00FA0D25">
      <w:pPr>
        <w:pStyle w:val="a0"/>
        <w:numPr>
          <w:ilvl w:val="0"/>
          <w:numId w:val="0"/>
        </w:numPr>
        <w:bidi/>
        <w:spacing w:after="0"/>
        <w:rPr>
          <w:sz w:val="24"/>
        </w:rPr>
      </w:pPr>
    </w:p>
    <w:sectPr w:rsidR="005132AC" w:rsidRPr="00F70D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83CCC8F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F54B9A"/>
    <w:multiLevelType w:val="hybridMultilevel"/>
    <w:tmpl w:val="ABA203F6"/>
    <w:lvl w:ilvl="0" w:tplc="DC5654C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A4665"/>
    <w:multiLevelType w:val="hybridMultilevel"/>
    <w:tmpl w:val="922C4C9C"/>
    <w:lvl w:ilvl="0" w:tplc="DC5654C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930"/>
    <w:multiLevelType w:val="hybridMultilevel"/>
    <w:tmpl w:val="2E2A74FE"/>
    <w:lvl w:ilvl="0" w:tplc="0409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>
    <w:nsid w:val="258F1D33"/>
    <w:multiLevelType w:val="hybridMultilevel"/>
    <w:tmpl w:val="3CD8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C2470">
      <w:start w:val="5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A6E4F"/>
    <w:multiLevelType w:val="hybridMultilevel"/>
    <w:tmpl w:val="35B6E1E2"/>
    <w:lvl w:ilvl="0" w:tplc="DC5654C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11E03"/>
    <w:multiLevelType w:val="hybridMultilevel"/>
    <w:tmpl w:val="40E26ADC"/>
    <w:lvl w:ilvl="0" w:tplc="DC5654C4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3911"/>
    <w:rsid w:val="004B1E43"/>
    <w:rsid w:val="005132AC"/>
    <w:rsid w:val="00671FCF"/>
    <w:rsid w:val="00A26EB6"/>
    <w:rsid w:val="00AA1D8D"/>
    <w:rsid w:val="00B47730"/>
    <w:rsid w:val="00CB0664"/>
    <w:rsid w:val="00CC7928"/>
    <w:rsid w:val="00D84CA4"/>
    <w:rsid w:val="00F70DA2"/>
    <w:rsid w:val="00FA0D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D10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295312-0F8D-41C9-93B8-9E536CB8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2025-05-21T03:25:00Z</dcterms:created>
  <dcterms:modified xsi:type="dcterms:W3CDTF">2025-05-29T09:18:00Z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-391372292</vt:i4>
  </property>
</Properties>
</file>